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both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四川轻化工大学开展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四川省2021年中华经典诵写讲演系列活动（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讲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经典）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活动方案</w:t>
      </w:r>
    </w:p>
    <w:p>
      <w:pPr>
        <w:rPr>
          <w:rFonts w:ascii="Times New Roman" w:hAnsi="Times New Roman" w:eastAsia="等线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 xml:space="preserve"> 一、组织机构 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主办单位：四川轻化</w:t>
      </w:r>
      <w:bookmarkStart w:id="1" w:name="_GoBack"/>
      <w:bookmarkEnd w:id="1"/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工大学语言文字工作委员会、中共四川轻化工大学委员会宣传部、四川轻化工大学教务处、共青团四川轻化工大学委员会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承办单位：四川轻化工大学人文学院、四川轻化工大学普通话水平测试中心 </w:t>
      </w:r>
    </w:p>
    <w:p>
      <w:pPr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Times New Roman"/>
          <w:sz w:val="32"/>
          <w:szCs w:val="32"/>
        </w:rPr>
        <w:t>、活动对象及组别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我校</w:t>
      </w:r>
      <w:r>
        <w:rPr>
          <w:rFonts w:hint="eastAsia" w:ascii="仿宋_GB2312" w:hAnsi="Times New Roman" w:eastAsia="仿宋_GB2312" w:cs="Times New Roman"/>
          <w:sz w:val="32"/>
          <w:szCs w:val="32"/>
        </w:rPr>
        <w:t>具备教师资格证的在职教师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可参加</w:t>
      </w:r>
      <w:r>
        <w:rPr>
          <w:rFonts w:hint="eastAsia" w:ascii="仿宋_GB2312" w:hAnsi="Times New Roman" w:eastAsia="仿宋_GB2312" w:cs="Times New Roman"/>
          <w:sz w:val="32"/>
          <w:szCs w:val="32"/>
        </w:rPr>
        <w:t>大学教师组组别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的比赛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楷体" w:eastAsia="仿宋_GB2312" w:cs="宋体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黑体" w:cs="Times New Roman"/>
          <w:sz w:val="32"/>
          <w:szCs w:val="32"/>
        </w:rPr>
        <w:t>、</w:t>
      </w:r>
      <w:r>
        <w:rPr>
          <w:rFonts w:hint="eastAsia" w:ascii="黑体" w:hAnsi="黑体" w:eastAsia="黑体" w:cs="仿宋_GB2312"/>
          <w:bCs/>
          <w:sz w:val="32"/>
          <w:szCs w:val="32"/>
          <w:lang w:eastAsia="zh-CN"/>
        </w:rPr>
        <w:t>活动</w:t>
      </w:r>
      <w:r>
        <w:rPr>
          <w:rFonts w:hint="eastAsia" w:ascii="仿宋_GB2312" w:hAnsi="楷体" w:eastAsia="仿宋_GB2312" w:cs="宋体"/>
          <w:b/>
          <w:bCs/>
          <w:kern w:val="0"/>
          <w:sz w:val="32"/>
          <w:szCs w:val="32"/>
        </w:rPr>
        <w:t>内容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讲解须使用国家通用语言文字，内容应为教育部统编版中小学（中等职业教育类学校）语文教材和列入“普通高等教育国家级规划教材”的大学语文教材收录的一首古典诗词作品或红色经典诗词作品。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参赛教师应按照课堂教学相关要求，遵循诗词教育基本规律和学术规范，录制以诗词教学为主要内容的微课视频。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Times New Roman"/>
          <w:sz w:val="32"/>
          <w:szCs w:val="32"/>
        </w:rPr>
        <w:t>形式要求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每名参赛者提交1个参赛视频，时长</w:t>
      </w:r>
      <w:r>
        <w:rPr>
          <w:rFonts w:ascii="Times New Roman" w:hAnsi="Times New Roman" w:eastAsia="仿宋_GB2312" w:cs="仿宋_GB2312"/>
          <w:sz w:val="32"/>
          <w:szCs w:val="32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</w:rPr>
        <w:t>—</w:t>
      </w:r>
      <w:r>
        <w:rPr>
          <w:rFonts w:ascii="Times New Roman" w:hAnsi="Times New Roman" w:eastAsia="仿宋_GB2312" w:cs="仿宋_GB2312"/>
          <w:sz w:val="32"/>
          <w:szCs w:val="32"/>
        </w:rPr>
        <w:t>8</w:t>
      </w:r>
      <w:r>
        <w:rPr>
          <w:rFonts w:hint="eastAsia" w:ascii="Times New Roman" w:hAnsi="Times New Roman" w:eastAsia="仿宋_GB2312" w:cs="仿宋_GB2312"/>
          <w:sz w:val="32"/>
          <w:szCs w:val="32"/>
        </w:rPr>
        <w:t>分钟。视频格式为MP4，视频清晰度不低于720P，图像、声音清晰，不抖动、无噪音，文件大小不超过700MB。视频开头须注明作品名称及作品作者、参赛者单位、姓名、组别等信息。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Times New Roman"/>
          <w:sz w:val="32"/>
          <w:szCs w:val="32"/>
        </w:rPr>
        <w:t xml:space="preserve">提交要求 </w:t>
      </w:r>
    </w:p>
    <w:p>
      <w:pPr>
        <w:autoSpaceDE w:val="0"/>
        <w:autoSpaceDN w:val="0"/>
        <w:spacing w:line="560" w:lineRule="exact"/>
        <w:ind w:firstLine="640"/>
        <w:outlineLvl w:val="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作品进入评审阶段后，相关信息不得更改。作品要求为2021年新创作的作品。每人限报1件作品，限报1名指导教师。</w:t>
      </w:r>
    </w:p>
    <w:p>
      <w:pPr>
        <w:spacing w:line="560" w:lineRule="exact"/>
        <w:ind w:firstLine="64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六</w:t>
      </w:r>
      <w:r>
        <w:rPr>
          <w:rFonts w:hint="eastAsia" w:ascii="Times New Roman" w:hAnsi="Times New Roman" w:eastAsia="黑体" w:cs="Times New Roman"/>
          <w:sz w:val="32"/>
          <w:szCs w:val="32"/>
        </w:rPr>
        <w:t>、报送名额</w:t>
      </w:r>
    </w:p>
    <w:p>
      <w:pPr>
        <w:spacing w:line="560" w:lineRule="exact"/>
        <w:ind w:firstLine="641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我</w:t>
      </w:r>
      <w:r>
        <w:rPr>
          <w:rFonts w:hint="eastAsia" w:ascii="仿宋_GB2312" w:hAnsi="Times New Roman" w:eastAsia="仿宋_GB2312" w:cs="Times New Roman"/>
          <w:sz w:val="32"/>
          <w:szCs w:val="32"/>
        </w:rPr>
        <w:t>校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共选</w:t>
      </w:r>
      <w:r>
        <w:rPr>
          <w:rFonts w:hint="eastAsia" w:ascii="仿宋_GB2312" w:hAnsi="Times New Roman" w:eastAsia="仿宋_GB2312" w:cs="Times New Roman"/>
          <w:sz w:val="32"/>
          <w:szCs w:val="32"/>
        </w:rPr>
        <w:t>送参赛教师讲经典视频作品2个。</w:t>
      </w:r>
    </w:p>
    <w:p>
      <w:pPr>
        <w:spacing w:line="560" w:lineRule="exact"/>
        <w:ind w:firstLine="641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黑体" w:cs="Times New Roman"/>
          <w:sz w:val="32"/>
          <w:szCs w:val="32"/>
        </w:rPr>
        <w:t>、奖项设置</w:t>
      </w:r>
    </w:p>
    <w:p>
      <w:pPr>
        <w:adjustRightInd w:val="0"/>
        <w:snapToGrid w:val="0"/>
        <w:spacing w:line="560" w:lineRule="exact"/>
        <w:ind w:firstLine="641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省组委会按照参赛作品总数3</w:t>
      </w:r>
      <w:r>
        <w:rPr>
          <w:rFonts w:ascii="仿宋_GB2312" w:hAnsi="Times New Roman" w:eastAsia="仿宋_GB2312" w:cs="Times New Roman"/>
          <w:sz w:val="32"/>
          <w:szCs w:val="32"/>
        </w:rPr>
        <w:t>0%</w:t>
      </w:r>
      <w:r>
        <w:rPr>
          <w:rFonts w:hint="eastAsia" w:ascii="仿宋_GB2312" w:hAnsi="Times New Roman" w:eastAsia="仿宋_GB2312" w:cs="Times New Roman"/>
          <w:sz w:val="32"/>
          <w:szCs w:val="32"/>
        </w:rPr>
        <w:t>的比例，经专家初评确定获奖入围作品数量。通过专家评审（</w:t>
      </w:r>
      <w:r>
        <w:rPr>
          <w:rFonts w:ascii="仿宋_GB2312" w:hAnsi="Times New Roman" w:eastAsia="仿宋_GB2312" w:cs="Times New Roman"/>
          <w:sz w:val="32"/>
          <w:szCs w:val="32"/>
        </w:rPr>
        <w:t>90%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）和网络投票（</w:t>
      </w:r>
      <w:r>
        <w:rPr>
          <w:rFonts w:ascii="仿宋_GB2312" w:hAnsi="Times New Roman" w:eastAsia="仿宋_GB2312" w:cs="Times New Roman"/>
          <w:sz w:val="32"/>
          <w:szCs w:val="32"/>
        </w:rPr>
        <w:t>10%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）相结合的方式对入围作品进行终评，设置一、二、三等奖及优秀奖若干。省组委会对各奖项颁发电子证书。6月上旬公布评选结果并公示，公示期为</w:t>
      </w:r>
      <w:r>
        <w:rPr>
          <w:rFonts w:ascii="仿宋_GB2312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Times New Roman" w:eastAsia="仿宋_GB2312" w:cs="Times New Roman"/>
          <w:sz w:val="32"/>
          <w:szCs w:val="32"/>
        </w:rPr>
        <w:t>周。网络投票平台为“万立方”微信小程序平台。</w:t>
      </w:r>
    </w:p>
    <w:p>
      <w:pPr>
        <w:spacing w:line="560" w:lineRule="exact"/>
        <w:ind w:firstLine="641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八</w:t>
      </w:r>
      <w:r>
        <w:rPr>
          <w:rFonts w:hint="eastAsia" w:ascii="Times New Roman" w:hAnsi="Times New Roman" w:eastAsia="黑体" w:cs="Times New Roman"/>
          <w:sz w:val="32"/>
          <w:szCs w:val="32"/>
        </w:rPr>
        <w:t>、报送方式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>5</w:t>
      </w:r>
      <w:r>
        <w:rPr>
          <w:rFonts w:hint="eastAsia" w:ascii="仿宋_GB2312" w:hAnsi="Times New Roman" w:eastAsia="仿宋_GB2312" w:cs="Times New Roman"/>
          <w:sz w:val="32"/>
          <w:szCs w:val="32"/>
        </w:rPr>
        <w:t>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sz w:val="32"/>
          <w:szCs w:val="32"/>
        </w:rPr>
        <w:t>日前，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参赛教师</w:t>
      </w:r>
      <w:r>
        <w:rPr>
          <w:rFonts w:hint="eastAsia" w:ascii="仿宋_GB2312" w:hAnsi="Times New Roman" w:eastAsia="仿宋_GB2312" w:cs="Times New Roman"/>
          <w:sz w:val="32"/>
          <w:szCs w:val="32"/>
        </w:rPr>
        <w:t>须自行登录</w:t>
      </w:r>
      <w:bookmarkStart w:id="0" w:name="_Hlk67224130"/>
      <w:r>
        <w:rPr>
          <w:rFonts w:hint="eastAsia" w:ascii="仿宋_GB2312" w:hAnsi="Times New Roman" w:eastAsia="仿宋_GB2312" w:cs="Times New Roman"/>
          <w:sz w:val="32"/>
          <w:szCs w:val="32"/>
        </w:rPr>
        <w:t>“万立方”微信小程序</w:t>
      </w:r>
      <w:bookmarkEnd w:id="0"/>
      <w:r>
        <w:rPr>
          <w:rFonts w:hint="eastAsia" w:ascii="仿宋_GB2312" w:hAnsi="Times New Roman" w:eastAsia="仿宋_GB2312" w:cs="Times New Roman"/>
          <w:sz w:val="32"/>
          <w:szCs w:val="32"/>
        </w:rPr>
        <w:t>，并进入活动专区，点击“活动报名”，选择组别、行业部门，填写作品相关信息，完成活动报名。（报名后方可获得活动作品唯一识别编号）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5月9日前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参赛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教师</w:t>
      </w:r>
      <w:r>
        <w:rPr>
          <w:rFonts w:hint="eastAsia" w:ascii="仿宋_GB2312" w:hAnsi="Times New Roman" w:eastAsia="仿宋_GB2312" w:cs="Times New Roman"/>
          <w:sz w:val="32"/>
          <w:szCs w:val="32"/>
        </w:rPr>
        <w:t>将讲经典视频作品交送至四川轻化工大学人文学院第四实验楼81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sz w:val="32"/>
          <w:szCs w:val="32"/>
        </w:rPr>
        <w:t>办公室张燕老师处。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九</w:t>
      </w:r>
      <w:r>
        <w:rPr>
          <w:rFonts w:hint="eastAsia" w:ascii="Times New Roman" w:hAnsi="Times New Roman" w:eastAsia="黑体" w:cs="Times New Roman"/>
          <w:sz w:val="32"/>
          <w:szCs w:val="32"/>
        </w:rPr>
        <w:t>、联系方式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联系人：张燕；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联系电话：15984191098；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联系邮箱：2135778076@qq.com；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联系地址：四川轻化工大学第四实验楼81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sz w:val="32"/>
          <w:szCs w:val="32"/>
        </w:rPr>
        <w:t>办公室。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</w:p>
    <w:p>
      <w:pPr>
        <w:widowControl/>
        <w:spacing w:line="560" w:lineRule="exact"/>
        <w:ind w:firstLine="2880" w:firstLineChars="900"/>
        <w:jc w:val="center"/>
        <w:rPr>
          <w:rFonts w:ascii="仿宋_GB2312" w:hAnsi="Times New Roman" w:eastAsia="仿宋_GB2312" w:cs="Times New Roman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1701" w:footer="1588" w:gutter="0"/>
          <w:cols w:space="425" w:num="1"/>
          <w:docGrid w:linePitch="312" w:charSpace="0"/>
        </w:sect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                    </w:t>
      </w:r>
    </w:p>
    <w:p/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40902020509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Courier New">
    <w:panose1 w:val="02070409020205090404"/>
    <w:charset w:val="00"/>
    <w:family w:val="auto"/>
    <w:pitch w:val="default"/>
    <w:sig w:usb0="00007A87" w:usb1="80000000" w:usb2="00000008" w:usb3="00000000" w:csb0="4000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567" w:firstLine="35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WiW6w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ind w:left="210" w:leftChars="100"/>
      <w:rPr>
        <w:rStyle w:val="12"/>
        <w:rFonts w:ascii="宋体" w:hAnsi="宋体"/>
        <w:sz w:val="28"/>
        <w:szCs w:val="28"/>
      </w:rPr>
    </w:pPr>
    <w:r>
      <w:rPr>
        <w:rStyle w:val="12"/>
        <w:rFonts w:hint="eastAsia" w:ascii="宋体" w:hAnsi="宋体"/>
        <w:sz w:val="28"/>
        <w:szCs w:val="28"/>
      </w:rPr>
      <w:t xml:space="preserve">— </w:t>
    </w:r>
    <w:r>
      <w:rPr>
        <w:rStyle w:val="12"/>
        <w:rFonts w:ascii="宋体" w:hAnsi="宋体"/>
        <w:sz w:val="28"/>
        <w:szCs w:val="28"/>
      </w:rPr>
      <w:fldChar w:fldCharType="begin"/>
    </w:r>
    <w:r>
      <w:rPr>
        <w:rStyle w:val="12"/>
        <w:rFonts w:ascii="宋体" w:hAnsi="宋体"/>
        <w:sz w:val="28"/>
        <w:szCs w:val="28"/>
      </w:rPr>
      <w:instrText xml:space="preserve">PAGE  </w:instrText>
    </w:r>
    <w:r>
      <w:rPr>
        <w:rStyle w:val="12"/>
        <w:rFonts w:ascii="宋体" w:hAnsi="宋体"/>
        <w:sz w:val="28"/>
        <w:szCs w:val="28"/>
      </w:rPr>
      <w:fldChar w:fldCharType="separate"/>
    </w:r>
    <w:r>
      <w:rPr>
        <w:rStyle w:val="12"/>
        <w:rFonts w:ascii="宋体" w:hAnsi="宋体"/>
        <w:sz w:val="28"/>
        <w:szCs w:val="28"/>
      </w:rPr>
      <w:t>42</w:t>
    </w:r>
    <w:r>
      <w:rPr>
        <w:rStyle w:val="12"/>
        <w:rFonts w:ascii="宋体" w:hAnsi="宋体"/>
        <w:sz w:val="28"/>
        <w:szCs w:val="28"/>
      </w:rPr>
      <w:fldChar w:fldCharType="end"/>
    </w:r>
    <w:r>
      <w:rPr>
        <w:rStyle w:val="12"/>
        <w:rFonts w:hint="eastAsia" w:ascii="宋体" w:hAnsi="宋体"/>
        <w:sz w:val="28"/>
        <w:szCs w:val="28"/>
      </w:rPr>
      <w:t xml:space="preserve"> —</w:t>
    </w:r>
  </w:p>
  <w:p>
    <w:pPr>
      <w:pStyle w:val="6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euqmORQCAAAX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11"/>
    <w:rsid w:val="00706F11"/>
    <w:rsid w:val="00722984"/>
    <w:rsid w:val="007E29B2"/>
    <w:rsid w:val="00A354FF"/>
    <w:rsid w:val="00CA64A5"/>
    <w:rsid w:val="00D22B88"/>
    <w:rsid w:val="00E54EA3"/>
    <w:rsid w:val="01853547"/>
    <w:rsid w:val="077C4F3A"/>
    <w:rsid w:val="091E463A"/>
    <w:rsid w:val="0F894B44"/>
    <w:rsid w:val="0FC70B57"/>
    <w:rsid w:val="0FF438D4"/>
    <w:rsid w:val="10505470"/>
    <w:rsid w:val="11043B47"/>
    <w:rsid w:val="131C0B0A"/>
    <w:rsid w:val="1412414B"/>
    <w:rsid w:val="159A109A"/>
    <w:rsid w:val="16CC53A9"/>
    <w:rsid w:val="17CC02B9"/>
    <w:rsid w:val="1E8F2AA8"/>
    <w:rsid w:val="21BD71F3"/>
    <w:rsid w:val="22CB3466"/>
    <w:rsid w:val="234C373E"/>
    <w:rsid w:val="23D91403"/>
    <w:rsid w:val="299F5F33"/>
    <w:rsid w:val="2A0A6C9D"/>
    <w:rsid w:val="2C6208A2"/>
    <w:rsid w:val="2D5E4B69"/>
    <w:rsid w:val="2D941210"/>
    <w:rsid w:val="2DDB4D33"/>
    <w:rsid w:val="326C29AA"/>
    <w:rsid w:val="359125BA"/>
    <w:rsid w:val="3683671C"/>
    <w:rsid w:val="382F203D"/>
    <w:rsid w:val="39421580"/>
    <w:rsid w:val="399415C5"/>
    <w:rsid w:val="3DC67A50"/>
    <w:rsid w:val="3E737CCA"/>
    <w:rsid w:val="3F6A3D02"/>
    <w:rsid w:val="3FD079E2"/>
    <w:rsid w:val="40EB603D"/>
    <w:rsid w:val="4264254D"/>
    <w:rsid w:val="43E61FEE"/>
    <w:rsid w:val="45074F02"/>
    <w:rsid w:val="4526749C"/>
    <w:rsid w:val="47103749"/>
    <w:rsid w:val="47DC6D1B"/>
    <w:rsid w:val="4B2458CB"/>
    <w:rsid w:val="4B8F27A0"/>
    <w:rsid w:val="4C833AF1"/>
    <w:rsid w:val="4E491E40"/>
    <w:rsid w:val="522E2653"/>
    <w:rsid w:val="52935E56"/>
    <w:rsid w:val="53CE6D8E"/>
    <w:rsid w:val="55D25363"/>
    <w:rsid w:val="5770017A"/>
    <w:rsid w:val="57B80EB4"/>
    <w:rsid w:val="582D5923"/>
    <w:rsid w:val="591665AD"/>
    <w:rsid w:val="5A645452"/>
    <w:rsid w:val="5F86353A"/>
    <w:rsid w:val="60A52991"/>
    <w:rsid w:val="61CE72AE"/>
    <w:rsid w:val="68D04255"/>
    <w:rsid w:val="6DBE7823"/>
    <w:rsid w:val="72A073E6"/>
    <w:rsid w:val="72D40CDC"/>
    <w:rsid w:val="72E72EF3"/>
    <w:rsid w:val="77A66C7D"/>
    <w:rsid w:val="7DC1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9"/>
    <w:pPr>
      <w:spacing w:before="100" w:beforeAutospacing="1" w:after="100" w:afterAutospacing="1"/>
      <w:jc w:val="left"/>
      <w:outlineLvl w:val="0"/>
    </w:pPr>
    <w:rPr>
      <w:rFonts w:ascii="宋体" w:hAnsi="宋体" w:eastAsia="黑体" w:cs="Times New Roman"/>
      <w:b/>
      <w:kern w:val="44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6"/>
    <w:qFormat/>
    <w:uiPriority w:val="1"/>
    <w:pPr>
      <w:autoSpaceDE w:val="0"/>
      <w:autoSpaceDN w:val="0"/>
      <w:ind w:left="115"/>
      <w:jc w:val="left"/>
    </w:pPr>
    <w:rPr>
      <w:rFonts w:ascii="宋体" w:hAnsi="宋体" w:eastAsia="等线" w:cs="宋体"/>
      <w:kern w:val="0"/>
      <w:sz w:val="32"/>
      <w:szCs w:val="32"/>
      <w:lang w:val="zh-CN" w:bidi="zh-CN"/>
    </w:rPr>
  </w:style>
  <w:style w:type="paragraph" w:styleId="4">
    <w:name w:val="Date"/>
    <w:basedOn w:val="1"/>
    <w:next w:val="1"/>
    <w:link w:val="17"/>
    <w:semiHidden/>
    <w:unhideWhenUsed/>
    <w:qFormat/>
    <w:uiPriority w:val="99"/>
    <w:pPr>
      <w:ind w:left="100" w:leftChars="2500"/>
    </w:pPr>
    <w:rPr>
      <w:rFonts w:ascii="Calibri" w:hAnsi="Calibri" w:eastAsia="等线" w:cs="Times New Roman"/>
      <w:sz w:val="32"/>
    </w:rPr>
  </w:style>
  <w:style w:type="paragraph" w:styleId="5">
    <w:name w:val="Balloon Text"/>
    <w:basedOn w:val="1"/>
    <w:link w:val="18"/>
    <w:semiHidden/>
    <w:unhideWhenUsed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等线" w:cs="Times New Roman"/>
      <w:sz w:val="18"/>
      <w:szCs w:val="18"/>
    </w:rPr>
  </w:style>
  <w:style w:type="paragraph" w:styleId="7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等线" w:cs="Times New Roman"/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ascii="Times New Roman" w:hAnsi="Times New Roman" w:eastAsia="等线" w:cs="Times New Roman"/>
      <w:kern w:val="0"/>
      <w:sz w:val="24"/>
      <w:szCs w:val="32"/>
    </w:rPr>
  </w:style>
  <w:style w:type="table" w:styleId="10">
    <w:name w:val="Table Grid"/>
    <w:basedOn w:val="9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semiHidden/>
    <w:unhideWhenUsed/>
    <w:qFormat/>
    <w:uiPriority w:val="99"/>
  </w:style>
  <w:style w:type="character" w:styleId="13">
    <w:name w:val="FollowedHyperlink"/>
    <w:semiHidden/>
    <w:unhideWhenUsed/>
    <w:qFormat/>
    <w:uiPriority w:val="99"/>
    <w:rPr>
      <w:color w:val="800080"/>
      <w:u w:val="single"/>
    </w:rPr>
  </w:style>
  <w:style w:type="character" w:styleId="14">
    <w:name w:val="Hyperlink"/>
    <w:unhideWhenUsed/>
    <w:qFormat/>
    <w:uiPriority w:val="99"/>
    <w:rPr>
      <w:rFonts w:hint="default" w:ascii="Times New Roman" w:hAnsi="Times New Roman" w:cs="Times New Roman"/>
      <w:color w:val="0000FF"/>
      <w:u w:val="single"/>
    </w:rPr>
  </w:style>
  <w:style w:type="character" w:customStyle="1" w:styleId="15">
    <w:name w:val="标题 1 字符"/>
    <w:basedOn w:val="11"/>
    <w:link w:val="2"/>
    <w:qFormat/>
    <w:uiPriority w:val="99"/>
    <w:rPr>
      <w:rFonts w:ascii="宋体" w:hAnsi="宋体" w:eastAsia="黑体" w:cs="Times New Roman"/>
      <w:b/>
      <w:kern w:val="44"/>
      <w:sz w:val="48"/>
      <w:szCs w:val="48"/>
    </w:rPr>
  </w:style>
  <w:style w:type="character" w:customStyle="1" w:styleId="16">
    <w:name w:val="正文文本 字符"/>
    <w:basedOn w:val="11"/>
    <w:link w:val="3"/>
    <w:qFormat/>
    <w:uiPriority w:val="1"/>
    <w:rPr>
      <w:rFonts w:ascii="宋体" w:hAnsi="宋体" w:eastAsia="等线" w:cs="宋体"/>
      <w:kern w:val="0"/>
      <w:sz w:val="32"/>
      <w:szCs w:val="32"/>
      <w:lang w:val="zh-CN" w:bidi="zh-CN"/>
    </w:rPr>
  </w:style>
  <w:style w:type="character" w:customStyle="1" w:styleId="17">
    <w:name w:val="日期 字符"/>
    <w:basedOn w:val="11"/>
    <w:link w:val="4"/>
    <w:semiHidden/>
    <w:qFormat/>
    <w:uiPriority w:val="99"/>
    <w:rPr>
      <w:rFonts w:ascii="Calibri" w:hAnsi="Calibri" w:eastAsia="等线" w:cs="Times New Roman"/>
      <w:sz w:val="32"/>
    </w:rPr>
  </w:style>
  <w:style w:type="character" w:customStyle="1" w:styleId="18">
    <w:name w:val="批注框文本 字符"/>
    <w:basedOn w:val="11"/>
    <w:link w:val="5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9">
    <w:name w:val="页脚 字符"/>
    <w:basedOn w:val="11"/>
    <w:link w:val="6"/>
    <w:qFormat/>
    <w:uiPriority w:val="99"/>
    <w:rPr>
      <w:rFonts w:ascii="Calibri" w:hAnsi="Calibri" w:eastAsia="等线" w:cs="Times New Roman"/>
      <w:sz w:val="18"/>
      <w:szCs w:val="18"/>
    </w:rPr>
  </w:style>
  <w:style w:type="character" w:customStyle="1" w:styleId="20">
    <w:name w:val="页眉 字符"/>
    <w:basedOn w:val="11"/>
    <w:link w:val="7"/>
    <w:qFormat/>
    <w:uiPriority w:val="99"/>
    <w:rPr>
      <w:rFonts w:ascii="Calibri" w:hAnsi="Calibri" w:eastAsia="等线" w:cs="Times New Roman"/>
      <w:sz w:val="18"/>
      <w:szCs w:val="18"/>
    </w:rPr>
  </w:style>
  <w:style w:type="paragraph" w:styleId="21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2">
    <w:name w:val="未处理的提及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未处理的提及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4">
    <w:name w:val="未处理的提及3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5">
    <w:name w:val="未处理的提及4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6">
    <w:name w:val="未处理的提及5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7">
    <w:name w:val="未处理的提及6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8">
    <w:name w:val="未处理的提及7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44</Pages>
  <Words>2283</Words>
  <Characters>13019</Characters>
  <Lines>108</Lines>
  <Paragraphs>30</Paragraphs>
  <TotalTime>14</TotalTime>
  <ScaleCrop>false</ScaleCrop>
  <LinksUpToDate>false</LinksUpToDate>
  <CharactersWithSpaces>15272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2021-03-24T01:49:00Z</dcterms:created>
  <dc:creator>文 曦</dc:creator>
  <cp:lastModifiedBy>欧阳俊杰</cp:lastModifiedBy>
  <dcterms:modified xsi:type="dcterms:W3CDTF">2021-04-22T04:18:09Z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  <property fmtid="{D5CDD505-2E9C-101B-9397-08002B2CF9AE}" pid="3" name="ICV">
    <vt:lpwstr>AA151D32B0E44C00AB12B346EE368479</vt:lpwstr>
  </property>
</Properties>
</file>